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52" w:rsidRDefault="00E52752" w:rsidP="00D222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6469">
        <w:rPr>
          <w:rFonts w:ascii="Times New Roman" w:hAnsi="Times New Roman" w:cs="Times New Roman"/>
          <w:sz w:val="24"/>
          <w:szCs w:val="24"/>
        </w:rPr>
        <w:t>УТВЕРЖДЕНО</w:t>
      </w:r>
      <w:r w:rsidRPr="007A6469">
        <w:rPr>
          <w:rFonts w:ascii="Times New Roman" w:hAnsi="Times New Roman" w:cs="Times New Roman"/>
          <w:sz w:val="24"/>
          <w:szCs w:val="24"/>
        </w:rPr>
        <w:br/>
        <w:t>Решением 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469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E52752" w:rsidRPr="007A6469" w:rsidRDefault="00E52752" w:rsidP="00BB0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7A6469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«Новая Ида»</w:t>
      </w:r>
    </w:p>
    <w:p w:rsidR="00E52752" w:rsidRPr="007A6469" w:rsidRDefault="00E52752" w:rsidP="00EB0A6C">
      <w:pPr>
        <w:tabs>
          <w:tab w:val="left" w:pos="6465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 26 декабря 2014г. </w:t>
      </w:r>
      <w:r w:rsidRPr="007A6469">
        <w:rPr>
          <w:rFonts w:ascii="Times New Roman" w:hAnsi="Times New Roman" w:cs="Times New Roman"/>
          <w:sz w:val="24"/>
          <w:szCs w:val="24"/>
        </w:rPr>
        <w:t xml:space="preserve">N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29</w:t>
      </w:r>
    </w:p>
    <w:p w:rsidR="00E52752" w:rsidRPr="007A6469" w:rsidRDefault="00E52752" w:rsidP="00D222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2752" w:rsidRDefault="00E52752" w:rsidP="00D2220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МЕСТНЫЕ  НОРМАТИВЫ  ГРАДОСТРОИТЕЛЬНОГО </w:t>
      </w:r>
    </w:p>
    <w:p w:rsidR="00E52752" w:rsidRDefault="00E52752" w:rsidP="00D2220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ПРОЕКТИРОВАНИЯ.</w:t>
      </w:r>
    </w:p>
    <w:p w:rsidR="00E52752" w:rsidRDefault="00E52752" w:rsidP="00D2220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НОРМАТИВЫ ГРАДОСТРОИТЕЛЬНОГО ПРОЕКТИРОВАНИЯ </w:t>
      </w:r>
    </w:p>
    <w:p w:rsidR="00E52752" w:rsidRDefault="00E52752" w:rsidP="00D2220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«НОВАЯ ИДА»</w:t>
      </w:r>
    </w:p>
    <w:p w:rsidR="00E52752" w:rsidRPr="007A6469" w:rsidRDefault="00E52752" w:rsidP="00D2220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52752" w:rsidRDefault="00E52752" w:rsidP="00166BA0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Основная часть нормативов градостроительного проектирования</w:t>
      </w:r>
    </w:p>
    <w:p w:rsidR="00E52752" w:rsidRPr="00166BA0" w:rsidRDefault="00E52752" w:rsidP="00166BA0">
      <w:pPr>
        <w:spacing w:after="0" w:line="240" w:lineRule="auto"/>
        <w:ind w:left="360"/>
        <w:jc w:val="both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 w:rsidRPr="00166BA0">
        <w:rPr>
          <w:rFonts w:ascii="Times New Roman" w:hAnsi="Times New Roman" w:cs="Times New Roman"/>
          <w:color w:val="2C2C2C"/>
          <w:sz w:val="24"/>
          <w:szCs w:val="24"/>
        </w:rPr>
        <w:t xml:space="preserve"> Нормативы градостроительного проектирования муниципального образования «</w:t>
      </w:r>
      <w:r>
        <w:rPr>
          <w:rFonts w:ascii="Times New Roman" w:hAnsi="Times New Roman" w:cs="Times New Roman"/>
          <w:color w:val="2C2C2C"/>
          <w:sz w:val="24"/>
          <w:szCs w:val="24"/>
        </w:rPr>
        <w:t>Новая Ида</w:t>
      </w:r>
      <w:r w:rsidRPr="00166BA0">
        <w:rPr>
          <w:rFonts w:ascii="Times New Roman" w:hAnsi="Times New Roman" w:cs="Times New Roman"/>
          <w:color w:val="2C2C2C"/>
          <w:sz w:val="24"/>
          <w:szCs w:val="24"/>
        </w:rPr>
        <w:t>» согласно Градостроительному кодексу Российской Федерации</w:t>
      </w:r>
      <w:r>
        <w:rPr>
          <w:rFonts w:ascii="Times New Roman" w:hAnsi="Times New Roman" w:cs="Times New Roman"/>
          <w:color w:val="2C2C2C"/>
          <w:sz w:val="24"/>
          <w:szCs w:val="24"/>
        </w:rPr>
        <w:t xml:space="preserve"> относятся к местным нормативам градостроительного проектирования.</w:t>
      </w:r>
    </w:p>
    <w:p w:rsidR="00E52752" w:rsidRDefault="00E52752" w:rsidP="00166BA0">
      <w:pPr>
        <w:spacing w:after="0" w:line="240" w:lineRule="auto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 xml:space="preserve">      </w:t>
      </w:r>
      <w:r w:rsidRPr="00166BA0">
        <w:rPr>
          <w:rFonts w:ascii="Times New Roman" w:hAnsi="Times New Roman" w:cs="Times New Roman"/>
          <w:color w:val="2C2C2C"/>
          <w:sz w:val="24"/>
          <w:szCs w:val="24"/>
        </w:rPr>
        <w:t>Нормативы градостроительного проектирования муниципального образования «</w:t>
      </w:r>
      <w:r>
        <w:rPr>
          <w:rFonts w:ascii="Times New Roman" w:hAnsi="Times New Roman" w:cs="Times New Roman"/>
          <w:color w:val="2C2C2C"/>
          <w:sz w:val="24"/>
          <w:szCs w:val="24"/>
        </w:rPr>
        <w:t>Новая Ида</w:t>
      </w:r>
      <w:r w:rsidRPr="00166BA0">
        <w:rPr>
          <w:rFonts w:ascii="Times New Roman" w:hAnsi="Times New Roman" w:cs="Times New Roman"/>
          <w:color w:val="2C2C2C"/>
          <w:sz w:val="24"/>
          <w:szCs w:val="24"/>
        </w:rPr>
        <w:t>»</w:t>
      </w:r>
      <w:r>
        <w:rPr>
          <w:rFonts w:ascii="Times New Roman" w:hAnsi="Times New Roman" w:cs="Times New Roman"/>
          <w:color w:val="2C2C2C"/>
          <w:sz w:val="24"/>
          <w:szCs w:val="24"/>
        </w:rPr>
        <w:t xml:space="preserve"> устанавливают совокупность расчетных показателей минимально допустимого уровня обеспеченности объектами местного значения поселения, относящимися к следующим объектам (п.1 ч.5 ст.23 </w:t>
      </w:r>
      <w:r w:rsidRPr="00166BA0">
        <w:rPr>
          <w:rFonts w:ascii="Times New Roman" w:hAnsi="Times New Roman" w:cs="Times New Roman"/>
          <w:color w:val="2C2C2C"/>
          <w:sz w:val="24"/>
          <w:szCs w:val="24"/>
        </w:rPr>
        <w:t>Градостроительно</w:t>
      </w:r>
      <w:r>
        <w:rPr>
          <w:rFonts w:ascii="Times New Roman" w:hAnsi="Times New Roman" w:cs="Times New Roman"/>
          <w:color w:val="2C2C2C"/>
          <w:sz w:val="24"/>
          <w:szCs w:val="24"/>
        </w:rPr>
        <w:t>го</w:t>
      </w:r>
      <w:r w:rsidRPr="00166BA0">
        <w:rPr>
          <w:rFonts w:ascii="Times New Roman" w:hAnsi="Times New Roman" w:cs="Times New Roman"/>
          <w:color w:val="2C2C2C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color w:val="2C2C2C"/>
          <w:sz w:val="24"/>
          <w:szCs w:val="24"/>
        </w:rPr>
        <w:t>а</w:t>
      </w:r>
      <w:r w:rsidRPr="00166BA0">
        <w:rPr>
          <w:rFonts w:ascii="Times New Roman" w:hAnsi="Times New Roman" w:cs="Times New Roman"/>
          <w:color w:val="2C2C2C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color w:val="2C2C2C"/>
          <w:sz w:val="24"/>
          <w:szCs w:val="24"/>
        </w:rPr>
        <w:t>):</w:t>
      </w:r>
    </w:p>
    <w:p w:rsidR="00E52752" w:rsidRDefault="00E52752" w:rsidP="00166BA0">
      <w:pPr>
        <w:spacing w:after="0" w:line="240" w:lineRule="auto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а) электро-, тепло-, газо-  и водоснабжение населения, водоотведение;</w:t>
      </w:r>
    </w:p>
    <w:p w:rsidR="00E52752" w:rsidRDefault="00E52752" w:rsidP="00166BA0">
      <w:pPr>
        <w:spacing w:after="0" w:line="240" w:lineRule="auto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б) автомобильные дороги местного значения;</w:t>
      </w:r>
    </w:p>
    <w:p w:rsidR="00E52752" w:rsidRDefault="00E52752" w:rsidP="00166BA0">
      <w:pPr>
        <w:spacing w:after="0" w:line="240" w:lineRule="auto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в) физическая культура и массовый спорт, образование, здравоохранение, утилизация и переработка бытовых и промышленных отходов в случае подготовки генерального плана муниципального образования «Новая Ида»;</w:t>
      </w:r>
    </w:p>
    <w:p w:rsidR="00E52752" w:rsidRDefault="00E52752" w:rsidP="00A753FA">
      <w:pPr>
        <w:spacing w:after="0" w:line="240" w:lineRule="auto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г) иные области в связи с решением вопросов местного значения поселения;</w:t>
      </w:r>
    </w:p>
    <w:p w:rsidR="00E52752" w:rsidRPr="007A6469" w:rsidRDefault="00E52752" w:rsidP="00A753FA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 xml:space="preserve">объектами благоустройства территории, иными объектами местного значения поселения, населения  </w:t>
      </w:r>
      <w:r w:rsidRPr="00166BA0">
        <w:rPr>
          <w:rFonts w:ascii="Times New Roman" w:hAnsi="Times New Roman" w:cs="Times New Roman"/>
          <w:color w:val="2C2C2C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color w:val="2C2C2C"/>
          <w:sz w:val="24"/>
          <w:szCs w:val="24"/>
        </w:rPr>
        <w:t>Новая Ида</w:t>
      </w:r>
      <w:r w:rsidRPr="00166BA0">
        <w:rPr>
          <w:rFonts w:ascii="Times New Roman" w:hAnsi="Times New Roman" w:cs="Times New Roman"/>
          <w:color w:val="2C2C2C"/>
          <w:sz w:val="24"/>
          <w:szCs w:val="24"/>
        </w:rPr>
        <w:t>»</w:t>
      </w:r>
      <w:r>
        <w:rPr>
          <w:rFonts w:ascii="Times New Roman" w:hAnsi="Times New Roman" w:cs="Times New Roman"/>
          <w:color w:val="2C2C2C"/>
          <w:sz w:val="24"/>
          <w:szCs w:val="24"/>
        </w:rPr>
        <w:t>, и расчетных показателей максимально допустимого уровня  территориальной доступности таких объектов для населения.</w:t>
      </w:r>
      <w:r w:rsidRPr="00166BA0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E52752" w:rsidRDefault="00E52752" w:rsidP="00565699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color w:val="2C2C2C"/>
          <w:sz w:val="24"/>
          <w:szCs w:val="24"/>
        </w:rPr>
      </w:pPr>
      <w:r w:rsidRPr="00565699">
        <w:rPr>
          <w:rFonts w:ascii="Times New Roman" w:hAnsi="Times New Roman" w:cs="Times New Roman"/>
          <w:b/>
          <w:bCs/>
          <w:sz w:val="24"/>
          <w:szCs w:val="24"/>
        </w:rPr>
        <w:t xml:space="preserve">Расчетные показатели в области </w:t>
      </w:r>
      <w:r>
        <w:rPr>
          <w:rFonts w:ascii="Times New Roman" w:hAnsi="Times New Roman" w:cs="Times New Roman"/>
          <w:b/>
          <w:bCs/>
          <w:color w:val="2C2C2C"/>
          <w:sz w:val="24"/>
          <w:szCs w:val="24"/>
        </w:rPr>
        <w:t xml:space="preserve">электро-, тепло- </w:t>
      </w:r>
      <w:r w:rsidRPr="00565699">
        <w:rPr>
          <w:rFonts w:ascii="Times New Roman" w:hAnsi="Times New Roman" w:cs="Times New Roman"/>
          <w:b/>
          <w:bCs/>
          <w:color w:val="2C2C2C"/>
          <w:sz w:val="24"/>
          <w:szCs w:val="24"/>
        </w:rPr>
        <w:t xml:space="preserve"> и водоснабжение населения, водоотведение</w:t>
      </w:r>
    </w:p>
    <w:p w:rsidR="00E52752" w:rsidRDefault="00E52752" w:rsidP="0065024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 w:rsidRPr="00650249">
        <w:rPr>
          <w:rFonts w:ascii="Times New Roman" w:hAnsi="Times New Roman" w:cs="Times New Roman"/>
          <w:b/>
          <w:bCs/>
          <w:color w:val="2C2C2C"/>
          <w:sz w:val="24"/>
          <w:szCs w:val="24"/>
        </w:rPr>
        <w:t xml:space="preserve">      </w:t>
      </w:r>
      <w:r w:rsidRPr="00650249">
        <w:rPr>
          <w:rFonts w:ascii="Times New Roman" w:hAnsi="Times New Roman" w:cs="Times New Roman"/>
          <w:color w:val="2C2C2C"/>
          <w:sz w:val="24"/>
          <w:szCs w:val="24"/>
        </w:rPr>
        <w:t>Для населенных пунктов муниципального образования «</w:t>
      </w:r>
      <w:r>
        <w:rPr>
          <w:rFonts w:ascii="Times New Roman" w:hAnsi="Times New Roman" w:cs="Times New Roman"/>
          <w:color w:val="2C2C2C"/>
          <w:sz w:val="24"/>
          <w:szCs w:val="24"/>
        </w:rPr>
        <w:t>Новая Ида</w:t>
      </w:r>
      <w:r w:rsidRPr="00650249">
        <w:rPr>
          <w:rFonts w:ascii="Times New Roman" w:hAnsi="Times New Roman" w:cs="Times New Roman"/>
          <w:color w:val="2C2C2C"/>
          <w:sz w:val="24"/>
          <w:szCs w:val="24"/>
        </w:rPr>
        <w:t>» устанавливаются следующие расчетные показатели минимально допустимого уровня обеспеченности объектами в области</w:t>
      </w:r>
      <w:r w:rsidRPr="00650249">
        <w:rPr>
          <w:rFonts w:ascii="Times New Roman" w:hAnsi="Times New Roman" w:cs="Times New Roman"/>
          <w:b/>
          <w:bCs/>
          <w:color w:val="2C2C2C"/>
          <w:sz w:val="24"/>
          <w:szCs w:val="24"/>
        </w:rPr>
        <w:t xml:space="preserve"> </w:t>
      </w:r>
      <w:r w:rsidRPr="00650249">
        <w:rPr>
          <w:rFonts w:ascii="Times New Roman" w:hAnsi="Times New Roman" w:cs="Times New Roman"/>
          <w:color w:val="2C2C2C"/>
          <w:sz w:val="24"/>
          <w:szCs w:val="24"/>
        </w:rPr>
        <w:t>электро-, тепло-, газо-  и водоснабжение населения, водоотведение и расчетных показателей максимально допустимого уровня территориальной доступности таких объектов для населения поселения.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E52752" w:rsidRPr="00DD4BC5">
        <w:tc>
          <w:tcPr>
            <w:tcW w:w="2392" w:type="dxa"/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2393" w:type="dxa"/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2393" w:type="dxa"/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2393" w:type="dxa"/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Территория применения расчетных показателей</w:t>
            </w:r>
          </w:p>
        </w:tc>
      </w:tr>
      <w:tr w:rsidR="00E52752" w:rsidRPr="00DD4BC5">
        <w:tc>
          <w:tcPr>
            <w:tcW w:w="2392" w:type="dxa"/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Объекты электроснабжения (Трансформаторные </w:t>
            </w:r>
          </w:p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 подстанции, линии электропередач и т.д.)</w:t>
            </w:r>
          </w:p>
        </w:tc>
        <w:tc>
          <w:tcPr>
            <w:tcW w:w="2393" w:type="dxa"/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95% объектов расположенных на территории </w:t>
            </w:r>
          </w:p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населенных  пунктов поселения</w:t>
            </w:r>
          </w:p>
        </w:tc>
        <w:tc>
          <w:tcPr>
            <w:tcW w:w="2393" w:type="dxa"/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Согласно техническим условиям </w:t>
            </w:r>
          </w:p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снабжающей организации</w:t>
            </w:r>
          </w:p>
        </w:tc>
        <w:tc>
          <w:tcPr>
            <w:tcW w:w="2393" w:type="dxa"/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E52752" w:rsidRPr="00DD4BC5">
        <w:tc>
          <w:tcPr>
            <w:tcW w:w="2392" w:type="dxa"/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Объекты теплоснабжения тепловой энергии жилой и общественно-деловой застройки (тепловые сети, котельные и т.д.):</w:t>
            </w:r>
          </w:p>
        </w:tc>
        <w:tc>
          <w:tcPr>
            <w:tcW w:w="2393" w:type="dxa"/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E52752" w:rsidRPr="00DD4BC5">
        <w:tc>
          <w:tcPr>
            <w:tcW w:w="2392" w:type="dxa"/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Для централизованных источников тепловой энергии жилой и общественно-деловой застройки</w:t>
            </w:r>
          </w:p>
        </w:tc>
        <w:tc>
          <w:tcPr>
            <w:tcW w:w="2393" w:type="dxa"/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25%  объектов расположенных на территории населенных пунктов поселения</w:t>
            </w:r>
          </w:p>
        </w:tc>
        <w:tc>
          <w:tcPr>
            <w:tcW w:w="2393" w:type="dxa"/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Согласно техническим условиям энергоснабжающей организации и/или Схеме теплоснабжения поселения</w:t>
            </w:r>
          </w:p>
        </w:tc>
        <w:tc>
          <w:tcPr>
            <w:tcW w:w="2393" w:type="dxa"/>
            <w:vMerge w:val="restart"/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E52752" w:rsidRPr="00DD4BC5">
        <w:tc>
          <w:tcPr>
            <w:tcW w:w="2392" w:type="dxa"/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Для автономных источников тепловой энергии жилой и общественно-деловой застройки</w:t>
            </w:r>
          </w:p>
        </w:tc>
        <w:tc>
          <w:tcPr>
            <w:tcW w:w="2393" w:type="dxa"/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75%  объектов расположенных на территории населенных пунктов поселения</w:t>
            </w:r>
          </w:p>
        </w:tc>
        <w:tc>
          <w:tcPr>
            <w:tcW w:w="2393" w:type="dxa"/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Согласно техническим условиям энергоснабжающей организации и/или Схеме теплоснабжения поселения</w:t>
            </w:r>
          </w:p>
        </w:tc>
        <w:tc>
          <w:tcPr>
            <w:tcW w:w="2393" w:type="dxa"/>
            <w:vMerge/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</w:tr>
      <w:tr w:rsidR="00E52752" w:rsidRPr="00DD4BC5">
        <w:tc>
          <w:tcPr>
            <w:tcW w:w="2392" w:type="dxa"/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Объекты водоснабжения обеспечения населения холодной водой на хозяйственно-питьевые нужды (сети водопровода, водонапорные башни, насосные станции водозабора, скважины)</w:t>
            </w:r>
          </w:p>
        </w:tc>
        <w:tc>
          <w:tcPr>
            <w:tcW w:w="2393" w:type="dxa"/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100%  объектов расположенных на территории населенных пунктов поселения</w:t>
            </w:r>
          </w:p>
        </w:tc>
        <w:tc>
          <w:tcPr>
            <w:tcW w:w="2393" w:type="dxa"/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Согласно техническим условиям энергоснабжающей организации и/или Схеме водоснабжения поселения</w:t>
            </w:r>
          </w:p>
        </w:tc>
        <w:tc>
          <w:tcPr>
            <w:tcW w:w="2393" w:type="dxa"/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E52752" w:rsidRPr="00DD4BC5">
        <w:tc>
          <w:tcPr>
            <w:tcW w:w="2392" w:type="dxa"/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Объекты водоотведения для территорий различного функционального назначения (сети хозяйственно-бытовой канализации, сети лвневой канализации, перекачивающие насосные станции (КНС) очистные сооружения)</w:t>
            </w:r>
          </w:p>
        </w:tc>
        <w:tc>
          <w:tcPr>
            <w:tcW w:w="2393" w:type="dxa"/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75%  объектов расположенных на территории населенных пунктов поселения</w:t>
            </w:r>
          </w:p>
        </w:tc>
        <w:tc>
          <w:tcPr>
            <w:tcW w:w="2393" w:type="dxa"/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Согласно техническим условиям</w:t>
            </w:r>
          </w:p>
        </w:tc>
        <w:tc>
          <w:tcPr>
            <w:tcW w:w="2393" w:type="dxa"/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E52752" w:rsidRPr="00DD4BC5">
        <w:tc>
          <w:tcPr>
            <w:tcW w:w="2392" w:type="dxa"/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</w:tr>
      <w:tr w:rsidR="00E52752" w:rsidRPr="00DD4BC5">
        <w:tc>
          <w:tcPr>
            <w:tcW w:w="2392" w:type="dxa"/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</w:tr>
    </w:tbl>
    <w:p w:rsidR="00E52752" w:rsidRDefault="00E52752" w:rsidP="00BB00D2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color w:val="2C2C2C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C2C2C"/>
          <w:sz w:val="24"/>
          <w:szCs w:val="24"/>
        </w:rPr>
        <w:t>Расчетные показатели в области автомобильных дорог местного значения</w:t>
      </w:r>
    </w:p>
    <w:p w:rsidR="00E52752" w:rsidRPr="002409D0" w:rsidRDefault="00E52752" w:rsidP="002409D0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 w:rsidRPr="002409D0">
        <w:rPr>
          <w:rFonts w:ascii="Times New Roman" w:hAnsi="Times New Roman" w:cs="Times New Roman"/>
          <w:color w:val="2C2C2C"/>
          <w:sz w:val="24"/>
          <w:szCs w:val="24"/>
        </w:rPr>
        <w:t xml:space="preserve"> Для населенных пунктов</w:t>
      </w:r>
      <w:r>
        <w:rPr>
          <w:rFonts w:ascii="Times New Roman" w:hAnsi="Times New Roman" w:cs="Times New Roman"/>
          <w:color w:val="2C2C2C"/>
          <w:sz w:val="24"/>
          <w:szCs w:val="24"/>
        </w:rPr>
        <w:t xml:space="preserve"> муниципального образования «Новая Ида» устанавливаются следующие расчетные показатели минимально допустимого уровня обеспеченности объектами в области автомобильных дорог местного значения в границах населенных пунктов и расчетных показателей максимально допустимого уровня территориальной доступности таких объектов для населения поселения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E52752" w:rsidRPr="00DD4BC5">
        <w:tc>
          <w:tcPr>
            <w:tcW w:w="2392" w:type="dxa"/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2393" w:type="dxa"/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2393" w:type="dxa"/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2393" w:type="dxa"/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Территория применения расчетных показателей</w:t>
            </w:r>
          </w:p>
        </w:tc>
      </w:tr>
      <w:tr w:rsidR="00E52752" w:rsidRPr="00DD4BC5">
        <w:tc>
          <w:tcPr>
            <w:tcW w:w="2392" w:type="dxa"/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Автомобильные дороги улично-дорожной сети населенного пункта с твердым покрытием</w:t>
            </w:r>
          </w:p>
        </w:tc>
        <w:tc>
          <w:tcPr>
            <w:tcW w:w="2393" w:type="dxa"/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75% общей протяженности улично-дорожной сети населенных пунктов находящихся на балансе поселения</w:t>
            </w:r>
          </w:p>
        </w:tc>
        <w:tc>
          <w:tcPr>
            <w:tcW w:w="2393" w:type="dxa"/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более 100 м.</w:t>
            </w:r>
          </w:p>
        </w:tc>
        <w:tc>
          <w:tcPr>
            <w:tcW w:w="2393" w:type="dxa"/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E52752" w:rsidRPr="00DD4BC5">
        <w:tc>
          <w:tcPr>
            <w:tcW w:w="2392" w:type="dxa"/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Парковка (парковочные места)</w:t>
            </w:r>
          </w:p>
        </w:tc>
        <w:tc>
          <w:tcPr>
            <w:tcW w:w="2393" w:type="dxa"/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2 парковок по 25 машино-мест для легковых автомобилей каждая</w:t>
            </w:r>
          </w:p>
        </w:tc>
        <w:tc>
          <w:tcPr>
            <w:tcW w:w="2393" w:type="dxa"/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Пешеходно-транспортная доступность до 45 мин.</w:t>
            </w:r>
          </w:p>
        </w:tc>
        <w:tc>
          <w:tcPr>
            <w:tcW w:w="2393" w:type="dxa"/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E52752" w:rsidRPr="00DD4BC5">
        <w:tc>
          <w:tcPr>
            <w:tcW w:w="2392" w:type="dxa"/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Пешеходный переход (наземный, надземный, подземный) Разделительное ограждение </w:t>
            </w:r>
          </w:p>
        </w:tc>
        <w:tc>
          <w:tcPr>
            <w:tcW w:w="2393" w:type="dxa"/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2 объектов</w:t>
            </w:r>
          </w:p>
        </w:tc>
        <w:tc>
          <w:tcPr>
            <w:tcW w:w="2393" w:type="dxa"/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устанавливается</w:t>
            </w:r>
          </w:p>
        </w:tc>
        <w:tc>
          <w:tcPr>
            <w:tcW w:w="2393" w:type="dxa"/>
            <w:vMerge w:val="restart"/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E52752" w:rsidRPr="00DD4BC5">
        <w:tc>
          <w:tcPr>
            <w:tcW w:w="2392" w:type="dxa"/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Автобусные остановки с элементами по ОСТ 218.1.002.2003</w:t>
            </w:r>
          </w:p>
        </w:tc>
        <w:tc>
          <w:tcPr>
            <w:tcW w:w="2393" w:type="dxa"/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Не менее 2-х автобусных остановок для автобусов, движущихся в противоположных направлениях, смещенных по ходу движения на расстояние не менее 30 м. между ближайшими стенками павильонов </w:t>
            </w:r>
          </w:p>
        </w:tc>
        <w:tc>
          <w:tcPr>
            <w:tcW w:w="2393" w:type="dxa"/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Пешеходная доступность не более  30 м.</w:t>
            </w:r>
          </w:p>
        </w:tc>
        <w:tc>
          <w:tcPr>
            <w:tcW w:w="2393" w:type="dxa"/>
            <w:vMerge/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</w:tr>
      <w:tr w:rsidR="00E52752" w:rsidRPr="00DD4BC5">
        <w:tc>
          <w:tcPr>
            <w:tcW w:w="2392" w:type="dxa"/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</w:tr>
      <w:tr w:rsidR="00E52752" w:rsidRPr="00DD4BC5">
        <w:tc>
          <w:tcPr>
            <w:tcW w:w="2392" w:type="dxa"/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</w:tr>
    </w:tbl>
    <w:p w:rsidR="00E52752" w:rsidRPr="00DE5109" w:rsidRDefault="00E52752" w:rsidP="00DE5109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color w:val="2C2C2C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C2C2C"/>
          <w:sz w:val="24"/>
          <w:szCs w:val="24"/>
        </w:rPr>
        <w:t xml:space="preserve"> Расчетные показатели в области физической культуры и массового спорта</w:t>
      </w:r>
    </w:p>
    <w:p w:rsidR="00E52752" w:rsidRDefault="00E52752" w:rsidP="00DE5109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 w:rsidRPr="00DE5109">
        <w:rPr>
          <w:rFonts w:ascii="Times New Roman" w:hAnsi="Times New Roman" w:cs="Times New Roman"/>
          <w:color w:val="2C2C2C"/>
          <w:sz w:val="24"/>
          <w:szCs w:val="24"/>
        </w:rPr>
        <w:t>Для населенных пунктов муниципального образования «</w:t>
      </w:r>
      <w:r>
        <w:rPr>
          <w:rFonts w:ascii="Times New Roman" w:hAnsi="Times New Roman" w:cs="Times New Roman"/>
          <w:color w:val="2C2C2C"/>
          <w:sz w:val="24"/>
          <w:szCs w:val="24"/>
        </w:rPr>
        <w:t>Новая Ида</w:t>
      </w:r>
      <w:r w:rsidRPr="00DE5109">
        <w:rPr>
          <w:rFonts w:ascii="Times New Roman" w:hAnsi="Times New Roman" w:cs="Times New Roman"/>
          <w:color w:val="2C2C2C"/>
          <w:sz w:val="24"/>
          <w:szCs w:val="24"/>
        </w:rPr>
        <w:t xml:space="preserve">» устанавливаются следующие расчетные показатели минимально допустимого уровня обеспеченности объектами </w:t>
      </w:r>
      <w:r>
        <w:rPr>
          <w:rFonts w:ascii="Times New Roman" w:hAnsi="Times New Roman" w:cs="Times New Roman"/>
          <w:color w:val="2C2C2C"/>
          <w:sz w:val="24"/>
          <w:szCs w:val="24"/>
        </w:rPr>
        <w:t>физической культуры и массового спорта</w:t>
      </w:r>
      <w:r w:rsidRPr="00DE5109">
        <w:rPr>
          <w:rFonts w:ascii="Times New Roman" w:hAnsi="Times New Roman" w:cs="Times New Roman"/>
          <w:color w:val="2C2C2C"/>
          <w:sz w:val="24"/>
          <w:szCs w:val="24"/>
        </w:rPr>
        <w:t xml:space="preserve"> и расчетных показателей максимально допустимого уровня территориальной доступности таких объектов для населения поселения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76"/>
        <w:gridCol w:w="2279"/>
        <w:gridCol w:w="2332"/>
        <w:gridCol w:w="2284"/>
      </w:tblGrid>
      <w:tr w:rsidR="00E52752" w:rsidRPr="00DD4BC5">
        <w:tc>
          <w:tcPr>
            <w:tcW w:w="2676" w:type="dxa"/>
            <w:tcBorders>
              <w:bottom w:val="single" w:sz="4" w:space="0" w:color="auto"/>
            </w:tcBorders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Территория применения расчетных показателей</w:t>
            </w:r>
          </w:p>
        </w:tc>
      </w:tr>
      <w:tr w:rsidR="00E52752" w:rsidRPr="00DD4BC5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Многофункциональный спортивно-досуговый центр с бассейном или аналогичный объект, Открытая спортивная площадка с искусственным покрытием или аналогичный объект, Хоккейная площадка открытого типа, Бассейн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1 объекта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Пешеходно-транспортная  доступность не более 45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E52752" w:rsidRPr="00DD4BC5">
        <w:tc>
          <w:tcPr>
            <w:tcW w:w="2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</w:tr>
      <w:tr w:rsidR="00E52752" w:rsidRPr="00DD4BC5"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</w:tr>
    </w:tbl>
    <w:p w:rsidR="00E52752" w:rsidRDefault="00E52752" w:rsidP="004A7DFE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bCs/>
          <w:color w:val="2C2C2C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C2C2C"/>
          <w:sz w:val="24"/>
          <w:szCs w:val="24"/>
        </w:rPr>
        <w:t>Расчетные показатели в иных областях в связи с решением вопросов местного значения поселения</w:t>
      </w:r>
    </w:p>
    <w:p w:rsidR="00E52752" w:rsidRDefault="00E52752" w:rsidP="00DA2A01">
      <w:pPr>
        <w:spacing w:before="100" w:beforeAutospacing="1" w:after="100" w:afterAutospacing="1" w:line="240" w:lineRule="auto"/>
        <w:ind w:left="360"/>
        <w:jc w:val="both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 w:rsidRPr="00DA2A01">
        <w:rPr>
          <w:rFonts w:ascii="Times New Roman" w:hAnsi="Times New Roman" w:cs="Times New Roman"/>
          <w:color w:val="2C2C2C"/>
          <w:sz w:val="24"/>
          <w:szCs w:val="24"/>
        </w:rPr>
        <w:t>Для населенных пунктов муниципального образования «</w:t>
      </w:r>
      <w:r>
        <w:rPr>
          <w:rFonts w:ascii="Times New Roman" w:hAnsi="Times New Roman" w:cs="Times New Roman"/>
          <w:color w:val="2C2C2C"/>
          <w:sz w:val="24"/>
          <w:szCs w:val="24"/>
        </w:rPr>
        <w:t>Новая Ида</w:t>
      </w:r>
      <w:r w:rsidRPr="00DA2A01">
        <w:rPr>
          <w:rFonts w:ascii="Times New Roman" w:hAnsi="Times New Roman" w:cs="Times New Roman"/>
          <w:color w:val="2C2C2C"/>
          <w:sz w:val="24"/>
          <w:szCs w:val="24"/>
        </w:rPr>
        <w:t xml:space="preserve">» устанавливаются следующие расчетные показатели минимально допустимого уровня обеспеченности объектами </w:t>
      </w:r>
      <w:r>
        <w:rPr>
          <w:rFonts w:ascii="Times New Roman" w:hAnsi="Times New Roman" w:cs="Times New Roman"/>
          <w:color w:val="2C2C2C"/>
          <w:sz w:val="24"/>
          <w:szCs w:val="24"/>
        </w:rPr>
        <w:t xml:space="preserve">в иных областях в связи с решением вопросов местного значения поселения </w:t>
      </w:r>
      <w:r w:rsidRPr="00DA2A01">
        <w:rPr>
          <w:rFonts w:ascii="Times New Roman" w:hAnsi="Times New Roman" w:cs="Times New Roman"/>
          <w:color w:val="2C2C2C"/>
          <w:sz w:val="24"/>
          <w:szCs w:val="24"/>
        </w:rPr>
        <w:t>и расчетных показателей максимально допустимого уровня территориальной доступности таких объектов для населения поселения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76"/>
        <w:gridCol w:w="2279"/>
        <w:gridCol w:w="2332"/>
        <w:gridCol w:w="2284"/>
      </w:tblGrid>
      <w:tr w:rsidR="00E52752" w:rsidRPr="00DD4BC5">
        <w:tc>
          <w:tcPr>
            <w:tcW w:w="2676" w:type="dxa"/>
            <w:tcBorders>
              <w:bottom w:val="single" w:sz="4" w:space="0" w:color="auto"/>
            </w:tcBorders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Территория применения расчетных показателей</w:t>
            </w:r>
          </w:p>
        </w:tc>
      </w:tr>
      <w:tr w:rsidR="00E52752" w:rsidRPr="00DD4BC5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52" w:rsidRPr="00DD4BC5" w:rsidRDefault="00E52752" w:rsidP="00DD4BC5">
            <w:pPr>
              <w:spacing w:before="100" w:beforeAutospacing="1"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Дом культуры и творчества или объект аналогичный такому функциональному назначению, </w:t>
            </w:r>
          </w:p>
          <w:p w:rsidR="00E52752" w:rsidRPr="00DD4BC5" w:rsidRDefault="00E52752" w:rsidP="00DD4BC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Здание библиотеки или объект аналогичный такому функциональному назначению</w:t>
            </w:r>
          </w:p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2 объектов на муниципальное образование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Пешеходно-транспортная  доступность не более 45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E52752" w:rsidRPr="00DD4BC5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52" w:rsidRPr="00DD4BC5" w:rsidRDefault="00E52752" w:rsidP="00DD4BC5">
            <w:pPr>
              <w:spacing w:before="100" w:beforeAutospacing="1"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Противопожарный водоём (резервуар)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1 объекта для каждого населенного пункта с числом жителей более 50 человек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-при наличии автонасосов: 200 м</w:t>
            </w:r>
          </w:p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-при наличии мотопомп: 100-150м в зависимости от типа мотопомп (СНиП 2.04.02-84 п.9.30)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E52752" w:rsidRPr="00DD4BC5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52" w:rsidRPr="00DD4BC5" w:rsidRDefault="00E52752" w:rsidP="00DD4BC5">
            <w:pPr>
              <w:spacing w:before="100" w:beforeAutospacing="1"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Сельские кладбища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5 объектов на муниципальное образование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Пешеходно-транспортная  доступность не более 30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По фактически сложившейся ситуации</w:t>
            </w:r>
          </w:p>
        </w:tc>
      </w:tr>
      <w:tr w:rsidR="00E52752" w:rsidRPr="00DD4BC5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52" w:rsidRPr="00DD4BC5" w:rsidRDefault="00E52752" w:rsidP="00DD4BC5">
            <w:pPr>
              <w:spacing w:before="100" w:beforeAutospacing="1"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Пляж (муниципальный пляж)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2 объектов на муниципальное образование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Пешеходно-транспортная  доступность не более 60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E52752" w:rsidRPr="00DD4BC5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52" w:rsidRPr="00DD4BC5" w:rsidRDefault="00E52752" w:rsidP="00DD4BC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Объекты связи, Объекты общественного питания, </w:t>
            </w:r>
          </w:p>
          <w:p w:rsidR="00E52752" w:rsidRPr="00DD4BC5" w:rsidRDefault="00E52752" w:rsidP="00DD4BC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Объекты торговли, Объекты бытового обслуживания, </w:t>
            </w:r>
          </w:p>
          <w:p w:rsidR="00E52752" w:rsidRPr="00DD4BC5" w:rsidRDefault="00E52752" w:rsidP="00DD4BC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Рынок для торговли продукцией  сельскохозяйственного производства или другие объекты аналогичные по данному функциональному назначению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В совокупности, не менее 10 объектов всех видов, на всю территорию муниципального образования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Пешеходно-транспортная  доступность не более 30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E52752" w:rsidRPr="00DD4BC5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52" w:rsidRPr="00DD4BC5" w:rsidRDefault="00E52752" w:rsidP="00DD4BC5">
            <w:pPr>
              <w:spacing w:before="100" w:beforeAutospacing="1"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Особо охраняемые природные территории местного значения Территории объектов культурного наследия местного (муниципального) значения поселения Территории лечебно-оздоровительных местностей и курортов местного значения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2 объектов всех видов на всю территорию муниципального образования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Пешеходно-транспортная  доступность не более 60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</w:tbl>
    <w:p w:rsidR="00E52752" w:rsidRPr="00C05A25" w:rsidRDefault="00E52752" w:rsidP="00C05A25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bCs/>
          <w:color w:val="2C2C2C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C2C2C"/>
          <w:sz w:val="24"/>
          <w:szCs w:val="24"/>
        </w:rPr>
        <w:t>Расчетные показатели для объектов благоустройства территории поселения</w:t>
      </w:r>
    </w:p>
    <w:p w:rsidR="00E52752" w:rsidRPr="00D06C87" w:rsidRDefault="00E52752" w:rsidP="00D06C87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  <w:r w:rsidRPr="00D06C87">
        <w:rPr>
          <w:rFonts w:ascii="Times New Roman" w:hAnsi="Times New Roman" w:cs="Times New Roman"/>
          <w:color w:val="2C2C2C"/>
          <w:sz w:val="24"/>
          <w:szCs w:val="24"/>
        </w:rPr>
        <w:t>Для населенных пунктов муниципального образования «</w:t>
      </w:r>
      <w:r>
        <w:rPr>
          <w:rFonts w:ascii="Times New Roman" w:hAnsi="Times New Roman" w:cs="Times New Roman"/>
          <w:color w:val="2C2C2C"/>
          <w:sz w:val="24"/>
          <w:szCs w:val="24"/>
        </w:rPr>
        <w:t>Новая Ида</w:t>
      </w:r>
      <w:r w:rsidRPr="00D06C87">
        <w:rPr>
          <w:rFonts w:ascii="Times New Roman" w:hAnsi="Times New Roman" w:cs="Times New Roman"/>
          <w:color w:val="2C2C2C"/>
          <w:sz w:val="24"/>
          <w:szCs w:val="24"/>
        </w:rPr>
        <w:t xml:space="preserve">» устанавливаются следующие расчетные показатели минимально допустимого уровня обеспеченности объектами </w:t>
      </w:r>
      <w:r>
        <w:rPr>
          <w:rFonts w:ascii="Times New Roman" w:hAnsi="Times New Roman" w:cs="Times New Roman"/>
          <w:color w:val="2C2C2C"/>
          <w:sz w:val="24"/>
          <w:szCs w:val="24"/>
        </w:rPr>
        <w:t>благоустройства территории поселения</w:t>
      </w:r>
      <w:r w:rsidRPr="00D06C87">
        <w:rPr>
          <w:rFonts w:ascii="Times New Roman" w:hAnsi="Times New Roman" w:cs="Times New Roman"/>
          <w:color w:val="2C2C2C"/>
          <w:sz w:val="24"/>
          <w:szCs w:val="24"/>
        </w:rPr>
        <w:t xml:space="preserve"> и расчетных показателей максимально допустимого уровня территориальной доступности таких объектов для населения поселения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76"/>
        <w:gridCol w:w="2279"/>
        <w:gridCol w:w="2332"/>
        <w:gridCol w:w="2284"/>
      </w:tblGrid>
      <w:tr w:rsidR="00E52752" w:rsidRPr="00DD4BC5">
        <w:tc>
          <w:tcPr>
            <w:tcW w:w="2676" w:type="dxa"/>
            <w:tcBorders>
              <w:bottom w:val="single" w:sz="4" w:space="0" w:color="auto"/>
            </w:tcBorders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</w:rPr>
              <w:t>Территория применения расчетных показателей</w:t>
            </w:r>
          </w:p>
        </w:tc>
      </w:tr>
      <w:tr w:rsidR="00E52752" w:rsidRPr="00DD4BC5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Уличное освещение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1 объект на каждые 50 метров улично-дорожной сети, в том числе пешеходных тротуаров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На каждые 50 метров улично-дорожной сети, в том числе пешеходных тротуаров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населенных пунктов муниципального образования</w:t>
            </w:r>
          </w:p>
        </w:tc>
      </w:tr>
      <w:tr w:rsidR="00E52752" w:rsidRPr="00DD4BC5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52" w:rsidRPr="00DD4BC5" w:rsidRDefault="00E52752" w:rsidP="00DD4BC5">
            <w:pPr>
              <w:spacing w:before="100" w:beforeAutospacing="1"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Озеленение территорий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 xml:space="preserve">Не менее 1 объекта для каждого населенного пункта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устанавливается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населенных пунктов муниципального образования</w:t>
            </w:r>
          </w:p>
        </w:tc>
      </w:tr>
      <w:tr w:rsidR="00E52752" w:rsidRPr="00DD4BC5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52" w:rsidRPr="00DD4BC5" w:rsidRDefault="00E52752" w:rsidP="00DD4BC5">
            <w:pPr>
              <w:spacing w:before="100" w:beforeAutospacing="1"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Детские площадки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1 объекта для каждого населенного пункта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Пешеходная доступность – 15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населенных пунктов муниципального образования</w:t>
            </w:r>
          </w:p>
        </w:tc>
      </w:tr>
      <w:tr w:rsidR="00E52752" w:rsidRPr="00DD4BC5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52" w:rsidRPr="00DD4BC5" w:rsidRDefault="00E52752" w:rsidP="00DD4BC5">
            <w:pPr>
              <w:spacing w:before="100" w:beforeAutospacing="1"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Парковая зона (зона отдыха)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1 объекта на муниципальное образование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Пешеходно-транспортная  доступность не более 60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населенных пунктов муниципального образования</w:t>
            </w:r>
          </w:p>
        </w:tc>
      </w:tr>
      <w:tr w:rsidR="00E52752" w:rsidRPr="00DD4BC5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52" w:rsidRPr="00DD4BC5" w:rsidRDefault="00E52752" w:rsidP="00DD4BC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Пешеходные дорожки (тротуары)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75% обеспеченность всех населенных пунктов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устанавливается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населенных пунктов муниципального образования</w:t>
            </w:r>
          </w:p>
        </w:tc>
      </w:tr>
      <w:tr w:rsidR="00E52752" w:rsidRPr="00DD4BC5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52" w:rsidRPr="00DD4BC5" w:rsidRDefault="00E52752" w:rsidP="00DD4BC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Урны для мусора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2 объектов для каждого населенного пункта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На каждые 100 метров улично-дорожной сети (пешеходных тротуаров)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населенных пунктов муниципального образования</w:t>
            </w:r>
          </w:p>
        </w:tc>
      </w:tr>
      <w:tr w:rsidR="00E52752" w:rsidRPr="00DD4BC5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52" w:rsidRPr="00DD4BC5" w:rsidRDefault="00E52752" w:rsidP="00DD4BC5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Малые архитектурные формы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Не менее 1 объекта на муниципальное образование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На расстоянии не менее 100 м. друг от друга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52" w:rsidRPr="00DD4BC5" w:rsidRDefault="00E52752" w:rsidP="00DD4BC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 w:rsidRPr="00DD4BC5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Территория населенных пунктов муниципального образования</w:t>
            </w:r>
          </w:p>
        </w:tc>
      </w:tr>
    </w:tbl>
    <w:p w:rsidR="00E52752" w:rsidRPr="00DA2A01" w:rsidRDefault="00E52752" w:rsidP="00DA2A01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bCs/>
          <w:color w:val="2C2C2C"/>
          <w:sz w:val="24"/>
          <w:szCs w:val="24"/>
        </w:rPr>
      </w:pPr>
    </w:p>
    <w:p w:rsidR="00E52752" w:rsidRPr="00565699" w:rsidRDefault="00E52752" w:rsidP="0056569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color w:val="2C2C2C"/>
          <w:sz w:val="24"/>
          <w:szCs w:val="24"/>
        </w:rPr>
      </w:pPr>
    </w:p>
    <w:p w:rsidR="00E52752" w:rsidRDefault="00E52752" w:rsidP="0056569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E52752" w:rsidRDefault="00E52752" w:rsidP="0056569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E52752" w:rsidRDefault="00E52752" w:rsidP="0056569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E52752" w:rsidRDefault="00E52752" w:rsidP="0056569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E52752" w:rsidRDefault="00E52752" w:rsidP="0056569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E52752" w:rsidRDefault="00E52752" w:rsidP="0056569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E52752" w:rsidRDefault="00E52752" w:rsidP="0056569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E52752" w:rsidRDefault="00E52752" w:rsidP="0056569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E52752" w:rsidRPr="00565699" w:rsidRDefault="00E52752" w:rsidP="0056569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52752" w:rsidRPr="00565699" w:rsidSect="008E2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752" w:rsidRDefault="00E52752" w:rsidP="007A6469">
      <w:pPr>
        <w:spacing w:after="0" w:line="240" w:lineRule="auto"/>
      </w:pPr>
      <w:r>
        <w:separator/>
      </w:r>
    </w:p>
  </w:endnote>
  <w:endnote w:type="continuationSeparator" w:id="1">
    <w:p w:rsidR="00E52752" w:rsidRDefault="00E52752" w:rsidP="007A6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752" w:rsidRDefault="00E52752" w:rsidP="007A6469">
      <w:pPr>
        <w:spacing w:after="0" w:line="240" w:lineRule="auto"/>
      </w:pPr>
      <w:r>
        <w:separator/>
      </w:r>
    </w:p>
  </w:footnote>
  <w:footnote w:type="continuationSeparator" w:id="1">
    <w:p w:rsidR="00E52752" w:rsidRDefault="00E52752" w:rsidP="007A6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07B8E"/>
    <w:multiLevelType w:val="hybridMultilevel"/>
    <w:tmpl w:val="A2669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A377F"/>
    <w:multiLevelType w:val="multilevel"/>
    <w:tmpl w:val="E97E2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">
    <w:nsid w:val="70DF7399"/>
    <w:multiLevelType w:val="hybridMultilevel"/>
    <w:tmpl w:val="55728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27F"/>
    <w:rsid w:val="00011023"/>
    <w:rsid w:val="0001200A"/>
    <w:rsid w:val="0001474B"/>
    <w:rsid w:val="00021D02"/>
    <w:rsid w:val="00037925"/>
    <w:rsid w:val="00044051"/>
    <w:rsid w:val="00045F75"/>
    <w:rsid w:val="00052C5A"/>
    <w:rsid w:val="00055B3F"/>
    <w:rsid w:val="00063630"/>
    <w:rsid w:val="00064C18"/>
    <w:rsid w:val="00082631"/>
    <w:rsid w:val="0009345E"/>
    <w:rsid w:val="000A6559"/>
    <w:rsid w:val="000C3BB1"/>
    <w:rsid w:val="000E33F6"/>
    <w:rsid w:val="00107562"/>
    <w:rsid w:val="00111BDC"/>
    <w:rsid w:val="00113B2D"/>
    <w:rsid w:val="00136E4F"/>
    <w:rsid w:val="00166BA0"/>
    <w:rsid w:val="00185F0A"/>
    <w:rsid w:val="001A67B7"/>
    <w:rsid w:val="001A7A63"/>
    <w:rsid w:val="001B3669"/>
    <w:rsid w:val="001B7523"/>
    <w:rsid w:val="00217D0B"/>
    <w:rsid w:val="00224083"/>
    <w:rsid w:val="00227D3D"/>
    <w:rsid w:val="00233AA9"/>
    <w:rsid w:val="002345E1"/>
    <w:rsid w:val="00234F68"/>
    <w:rsid w:val="002409D0"/>
    <w:rsid w:val="00250FE4"/>
    <w:rsid w:val="002552FF"/>
    <w:rsid w:val="00297CF3"/>
    <w:rsid w:val="002A5F20"/>
    <w:rsid w:val="002B143F"/>
    <w:rsid w:val="002E2221"/>
    <w:rsid w:val="002E77B0"/>
    <w:rsid w:val="002F0BC3"/>
    <w:rsid w:val="003007AC"/>
    <w:rsid w:val="00312944"/>
    <w:rsid w:val="00312BF1"/>
    <w:rsid w:val="00334B33"/>
    <w:rsid w:val="00335351"/>
    <w:rsid w:val="00350FED"/>
    <w:rsid w:val="003510AA"/>
    <w:rsid w:val="003605CA"/>
    <w:rsid w:val="00384827"/>
    <w:rsid w:val="00385D4C"/>
    <w:rsid w:val="00394C60"/>
    <w:rsid w:val="003B2901"/>
    <w:rsid w:val="003B5EE1"/>
    <w:rsid w:val="003C003E"/>
    <w:rsid w:val="003F1F98"/>
    <w:rsid w:val="00405D96"/>
    <w:rsid w:val="00425010"/>
    <w:rsid w:val="004314D9"/>
    <w:rsid w:val="00445563"/>
    <w:rsid w:val="004540A7"/>
    <w:rsid w:val="004864F4"/>
    <w:rsid w:val="004932AA"/>
    <w:rsid w:val="004A7DFE"/>
    <w:rsid w:val="004B2390"/>
    <w:rsid w:val="004C0A2D"/>
    <w:rsid w:val="004D0E38"/>
    <w:rsid w:val="004D2B36"/>
    <w:rsid w:val="004D71EA"/>
    <w:rsid w:val="004F6BFC"/>
    <w:rsid w:val="005064C6"/>
    <w:rsid w:val="0050787B"/>
    <w:rsid w:val="005233C5"/>
    <w:rsid w:val="00527F5F"/>
    <w:rsid w:val="00543451"/>
    <w:rsid w:val="00544175"/>
    <w:rsid w:val="00544F52"/>
    <w:rsid w:val="00552829"/>
    <w:rsid w:val="00562219"/>
    <w:rsid w:val="00565699"/>
    <w:rsid w:val="00567298"/>
    <w:rsid w:val="00590AD7"/>
    <w:rsid w:val="00590E64"/>
    <w:rsid w:val="005A0694"/>
    <w:rsid w:val="005A4EF0"/>
    <w:rsid w:val="005C4BA9"/>
    <w:rsid w:val="005C4C6B"/>
    <w:rsid w:val="005D3CB2"/>
    <w:rsid w:val="005D68C8"/>
    <w:rsid w:val="005E2448"/>
    <w:rsid w:val="005E77CC"/>
    <w:rsid w:val="00611103"/>
    <w:rsid w:val="00616D9A"/>
    <w:rsid w:val="006235C4"/>
    <w:rsid w:val="00625681"/>
    <w:rsid w:val="00625AE3"/>
    <w:rsid w:val="00631022"/>
    <w:rsid w:val="00650249"/>
    <w:rsid w:val="00667464"/>
    <w:rsid w:val="00682AC8"/>
    <w:rsid w:val="00693D4A"/>
    <w:rsid w:val="00697E99"/>
    <w:rsid w:val="006B0D8B"/>
    <w:rsid w:val="006B7ABB"/>
    <w:rsid w:val="006C1187"/>
    <w:rsid w:val="006C1278"/>
    <w:rsid w:val="006D454C"/>
    <w:rsid w:val="006E151C"/>
    <w:rsid w:val="006E535C"/>
    <w:rsid w:val="006E7EF3"/>
    <w:rsid w:val="00710B97"/>
    <w:rsid w:val="007149C5"/>
    <w:rsid w:val="0071551A"/>
    <w:rsid w:val="0073511C"/>
    <w:rsid w:val="00742FA0"/>
    <w:rsid w:val="00767186"/>
    <w:rsid w:val="00772DC0"/>
    <w:rsid w:val="00781360"/>
    <w:rsid w:val="0078346D"/>
    <w:rsid w:val="00784751"/>
    <w:rsid w:val="00793575"/>
    <w:rsid w:val="007A6469"/>
    <w:rsid w:val="007E082B"/>
    <w:rsid w:val="007F05B8"/>
    <w:rsid w:val="007F05D6"/>
    <w:rsid w:val="0080337F"/>
    <w:rsid w:val="00812154"/>
    <w:rsid w:val="00814107"/>
    <w:rsid w:val="00817607"/>
    <w:rsid w:val="008260EE"/>
    <w:rsid w:val="0083003B"/>
    <w:rsid w:val="0083067B"/>
    <w:rsid w:val="00831DA9"/>
    <w:rsid w:val="00832FB4"/>
    <w:rsid w:val="00844C2A"/>
    <w:rsid w:val="00864530"/>
    <w:rsid w:val="00866298"/>
    <w:rsid w:val="00871D97"/>
    <w:rsid w:val="00874D28"/>
    <w:rsid w:val="00877314"/>
    <w:rsid w:val="008A1B14"/>
    <w:rsid w:val="008A6B04"/>
    <w:rsid w:val="008D1C57"/>
    <w:rsid w:val="008E1B82"/>
    <w:rsid w:val="008E2A81"/>
    <w:rsid w:val="008F595B"/>
    <w:rsid w:val="009273B1"/>
    <w:rsid w:val="00937CBC"/>
    <w:rsid w:val="00946508"/>
    <w:rsid w:val="009466FF"/>
    <w:rsid w:val="00947982"/>
    <w:rsid w:val="00957145"/>
    <w:rsid w:val="009661DE"/>
    <w:rsid w:val="009860D1"/>
    <w:rsid w:val="00997B98"/>
    <w:rsid w:val="009A24EA"/>
    <w:rsid w:val="009A2A39"/>
    <w:rsid w:val="009D0A77"/>
    <w:rsid w:val="009E795E"/>
    <w:rsid w:val="00A07AF4"/>
    <w:rsid w:val="00A104E0"/>
    <w:rsid w:val="00A130EC"/>
    <w:rsid w:val="00A2210C"/>
    <w:rsid w:val="00A26ABF"/>
    <w:rsid w:val="00A47902"/>
    <w:rsid w:val="00A523DF"/>
    <w:rsid w:val="00A57A3D"/>
    <w:rsid w:val="00A753FA"/>
    <w:rsid w:val="00A768DA"/>
    <w:rsid w:val="00A80E08"/>
    <w:rsid w:val="00A917A5"/>
    <w:rsid w:val="00AA4FB3"/>
    <w:rsid w:val="00AF15EF"/>
    <w:rsid w:val="00B04DD7"/>
    <w:rsid w:val="00B06589"/>
    <w:rsid w:val="00B1744E"/>
    <w:rsid w:val="00B2740F"/>
    <w:rsid w:val="00B3620D"/>
    <w:rsid w:val="00B530FA"/>
    <w:rsid w:val="00B615BF"/>
    <w:rsid w:val="00B67902"/>
    <w:rsid w:val="00B950E8"/>
    <w:rsid w:val="00BA0D4B"/>
    <w:rsid w:val="00BB00D2"/>
    <w:rsid w:val="00BC43E9"/>
    <w:rsid w:val="00BC72DE"/>
    <w:rsid w:val="00BD0ECC"/>
    <w:rsid w:val="00BD627F"/>
    <w:rsid w:val="00BE013A"/>
    <w:rsid w:val="00BE2709"/>
    <w:rsid w:val="00BF02A5"/>
    <w:rsid w:val="00BF1B8B"/>
    <w:rsid w:val="00BF24CE"/>
    <w:rsid w:val="00BF5A6D"/>
    <w:rsid w:val="00C02083"/>
    <w:rsid w:val="00C038C3"/>
    <w:rsid w:val="00C05A25"/>
    <w:rsid w:val="00C2071A"/>
    <w:rsid w:val="00C30754"/>
    <w:rsid w:val="00C6247C"/>
    <w:rsid w:val="00C63F1F"/>
    <w:rsid w:val="00C72CEE"/>
    <w:rsid w:val="00C85DFF"/>
    <w:rsid w:val="00CB4C50"/>
    <w:rsid w:val="00CC7CAF"/>
    <w:rsid w:val="00CD1BC7"/>
    <w:rsid w:val="00D06C87"/>
    <w:rsid w:val="00D2220D"/>
    <w:rsid w:val="00D36DC6"/>
    <w:rsid w:val="00D47BE0"/>
    <w:rsid w:val="00D55292"/>
    <w:rsid w:val="00D70A36"/>
    <w:rsid w:val="00D949F6"/>
    <w:rsid w:val="00D97B22"/>
    <w:rsid w:val="00D97FB3"/>
    <w:rsid w:val="00DA2A01"/>
    <w:rsid w:val="00DB2D39"/>
    <w:rsid w:val="00DB3B5E"/>
    <w:rsid w:val="00DC458C"/>
    <w:rsid w:val="00DD4BC5"/>
    <w:rsid w:val="00DD72CA"/>
    <w:rsid w:val="00DE04CB"/>
    <w:rsid w:val="00DE5109"/>
    <w:rsid w:val="00DE732C"/>
    <w:rsid w:val="00DF5611"/>
    <w:rsid w:val="00E1518E"/>
    <w:rsid w:val="00E25472"/>
    <w:rsid w:val="00E51235"/>
    <w:rsid w:val="00E52752"/>
    <w:rsid w:val="00E65A3C"/>
    <w:rsid w:val="00E67DA8"/>
    <w:rsid w:val="00E72F53"/>
    <w:rsid w:val="00E80B16"/>
    <w:rsid w:val="00E81982"/>
    <w:rsid w:val="00E82156"/>
    <w:rsid w:val="00E867C7"/>
    <w:rsid w:val="00E87315"/>
    <w:rsid w:val="00E9462E"/>
    <w:rsid w:val="00E953DB"/>
    <w:rsid w:val="00EA6832"/>
    <w:rsid w:val="00EB053F"/>
    <w:rsid w:val="00EB0A6C"/>
    <w:rsid w:val="00EC473C"/>
    <w:rsid w:val="00EC7D43"/>
    <w:rsid w:val="00ED5C37"/>
    <w:rsid w:val="00EE464A"/>
    <w:rsid w:val="00EE51F2"/>
    <w:rsid w:val="00EF3FCD"/>
    <w:rsid w:val="00F20A7B"/>
    <w:rsid w:val="00F310E0"/>
    <w:rsid w:val="00F4258A"/>
    <w:rsid w:val="00F502A3"/>
    <w:rsid w:val="00F7046D"/>
    <w:rsid w:val="00F86AF5"/>
    <w:rsid w:val="00F90FF7"/>
    <w:rsid w:val="00F937A7"/>
    <w:rsid w:val="00F975BA"/>
    <w:rsid w:val="00FB0F4F"/>
    <w:rsid w:val="00FB1A76"/>
    <w:rsid w:val="00FB5D51"/>
    <w:rsid w:val="00FC4CCD"/>
    <w:rsid w:val="00FD274A"/>
    <w:rsid w:val="00FD46BC"/>
    <w:rsid w:val="00FD5BDD"/>
    <w:rsid w:val="00FE320D"/>
    <w:rsid w:val="00FE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0AA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BD627F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BD627F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BD627F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9345E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627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D627F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D627F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9345E"/>
    <w:rPr>
      <w:rFonts w:ascii="Cambria" w:hAnsi="Cambria" w:cs="Cambria"/>
      <w:i/>
      <w:iCs/>
      <w:color w:val="404040"/>
    </w:rPr>
  </w:style>
  <w:style w:type="paragraph" w:customStyle="1" w:styleId="headertext">
    <w:name w:val="headertext"/>
    <w:basedOn w:val="Normal"/>
    <w:uiPriority w:val="99"/>
    <w:rsid w:val="00BD627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formattext">
    <w:name w:val="formattext"/>
    <w:basedOn w:val="Normal"/>
    <w:uiPriority w:val="99"/>
    <w:rsid w:val="00BD627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BD627F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949F6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7A6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6469"/>
  </w:style>
  <w:style w:type="paragraph" w:styleId="Footer">
    <w:name w:val="footer"/>
    <w:basedOn w:val="Normal"/>
    <w:link w:val="FooterChar"/>
    <w:uiPriority w:val="99"/>
    <w:semiHidden/>
    <w:rsid w:val="007A6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A6469"/>
  </w:style>
  <w:style w:type="paragraph" w:styleId="BalloonText">
    <w:name w:val="Balloon Text"/>
    <w:basedOn w:val="Normal"/>
    <w:link w:val="BalloonTextChar"/>
    <w:uiPriority w:val="99"/>
    <w:semiHidden/>
    <w:rsid w:val="0083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2F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F595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8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8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8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58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8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58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58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7</Pages>
  <Words>1648</Words>
  <Characters>9397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ОКС1</dc:creator>
  <cp:keywords/>
  <dc:description/>
  <cp:lastModifiedBy>*</cp:lastModifiedBy>
  <cp:revision>8</cp:revision>
  <cp:lastPrinted>2015-06-26T08:19:00Z</cp:lastPrinted>
  <dcterms:created xsi:type="dcterms:W3CDTF">2015-06-26T08:06:00Z</dcterms:created>
  <dcterms:modified xsi:type="dcterms:W3CDTF">2015-09-29T12:33:00Z</dcterms:modified>
</cp:coreProperties>
</file>